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945D" w14:textId="03CB93C4" w:rsidR="002D3713" w:rsidRPr="0081137F" w:rsidRDefault="002D3713" w:rsidP="008A641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37F">
        <w:rPr>
          <w:rFonts w:ascii="Times New Roman" w:hAnsi="Times New Roman" w:cs="Times New Roman"/>
          <w:b/>
          <w:bCs/>
          <w:sz w:val="24"/>
          <w:szCs w:val="24"/>
          <w:u w:val="single"/>
        </w:rPr>
        <w:t>TERMO DE AJUSTAMENTO DE CONDUTA</w:t>
      </w:r>
    </w:p>
    <w:p w14:paraId="615EFF0F" w14:textId="77777777" w:rsidR="008776DA" w:rsidRPr="0081137F" w:rsidRDefault="008776DA" w:rsidP="001B7651">
      <w:pPr>
        <w:rPr>
          <w:rFonts w:ascii="Times New Roman" w:hAnsi="Times New Roman" w:cs="Times New Roman"/>
          <w:sz w:val="24"/>
          <w:szCs w:val="24"/>
        </w:rPr>
      </w:pPr>
    </w:p>
    <w:p w14:paraId="25DD8323" w14:textId="2031BD9E" w:rsidR="002D3713" w:rsidRPr="0081137F" w:rsidRDefault="002D3713" w:rsidP="001B76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137F">
        <w:rPr>
          <w:rFonts w:ascii="Times New Roman" w:hAnsi="Times New Roman" w:cs="Times New Roman"/>
          <w:b/>
          <w:bCs/>
          <w:sz w:val="24"/>
          <w:szCs w:val="24"/>
        </w:rPr>
        <w:t xml:space="preserve">INQUÉRITO CIVIL n° </w:t>
      </w:r>
      <w:r w:rsidR="0076407D" w:rsidRPr="008113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XXXXXXXX</w:t>
      </w:r>
    </w:p>
    <w:p w14:paraId="2C870DBA" w14:textId="77777777" w:rsidR="008776DA" w:rsidRPr="002D3713" w:rsidRDefault="008776DA" w:rsidP="001B7651"/>
    <w:p w14:paraId="3DFC96E7" w14:textId="30ADF20D" w:rsidR="002D3713" w:rsidRPr="002D3713" w:rsidRDefault="002D3713" w:rsidP="00133F7F">
      <w:pPr>
        <w:tabs>
          <w:tab w:val="left" w:pos="0"/>
        </w:tabs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sz w:val="24"/>
          <w:szCs w:val="24"/>
        </w:rPr>
        <w:t xml:space="preserve">Aos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dia/mês/ano)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na Promotoria de Justiça da Comarca de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(nome da Comarca)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localizada na Rua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(endereço/ número/bairro)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município de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(nome do município)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perante o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MINISTÉRIO PÚBLICO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DO ESTADO D</w:t>
      </w:r>
      <w:r w:rsidR="00F10F24">
        <w:rPr>
          <w:rFonts w:ascii="Times New Roman" w:eastAsia="Arial" w:hAnsi="Times New Roman" w:cs="Times New Roman"/>
          <w:b/>
          <w:sz w:val="24"/>
          <w:szCs w:val="24"/>
        </w:rPr>
        <w:t>E MATO GROSSO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doravante denominado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MP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compareceu o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MUNICÍPIO (nome do município)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pessoa física de direito público interno, com endereço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(endereço/ nº/ bairro)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inscrito no CNPJ/MF sob o n.º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(____)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representado por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seu/sua prefeito (a)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(nome do Prefeito)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doravante denominado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COMPROMISSÁRIO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para, na forma do artigo 5º, § 6º, da Lei nº 7.347/85 – Lei da Ação Civil Pública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celebrarem o presente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COMPROMISSO DE AJUSTAMENTO DE CONDUTA </w:t>
      </w:r>
      <w:r w:rsidRPr="002D3713">
        <w:rPr>
          <w:rFonts w:ascii="Times New Roman" w:eastAsia="Arial" w:hAnsi="Times New Roman" w:cs="Times New Roman"/>
          <w:sz w:val="24"/>
          <w:szCs w:val="24"/>
        </w:rPr>
        <w:t>à vista do seguinte:</w:t>
      </w:r>
    </w:p>
    <w:p w14:paraId="1E35F6CF" w14:textId="77777777" w:rsidR="002D3713" w:rsidRPr="002D3713" w:rsidRDefault="002D3713" w:rsidP="00133F7F">
      <w:pPr>
        <w:spacing w:before="240" w:after="240"/>
        <w:ind w:firstLine="1701"/>
        <w:rPr>
          <w:rFonts w:ascii="Times New Roman" w:eastAsia="Arial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sz w:val="24"/>
          <w:szCs w:val="24"/>
        </w:rPr>
        <w:t>que o artigo 127 da Constituição Federal dispõe que “o Ministério Público é instituição permanente, essencial à função jurisdicional do Estado, incumbindo-lhe a defesa da ordem jurídica, do regime democrático e dos interesses sociais e individuais indisponíveis”;</w:t>
      </w:r>
    </w:p>
    <w:p w14:paraId="174A2357" w14:textId="5FC63346" w:rsidR="002D3713" w:rsidRPr="002D3713" w:rsidRDefault="002D3713" w:rsidP="00133F7F">
      <w:pPr>
        <w:spacing w:before="240" w:after="240"/>
        <w:ind w:firstLine="1701"/>
        <w:rPr>
          <w:rFonts w:ascii="Times New Roman" w:eastAsia="Arial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que o Ministério Público tem legitimidade e competência para firmar termo de ajustamento de conduta, o qual, uma vez assinado, tem força de título executivo extrajudicial, nos termos do artigo 5º, § 6º, da Lei n.º 7.347/85, </w:t>
      </w:r>
      <w:r w:rsidRPr="002D3713">
        <w:rPr>
          <w:rFonts w:ascii="Times New Roman" w:eastAsia="Arial" w:hAnsi="Times New Roman" w:cs="Times New Roman"/>
          <w:i/>
          <w:sz w:val="24"/>
          <w:szCs w:val="24"/>
        </w:rPr>
        <w:t xml:space="preserve">in verbis: 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“§ 6º. Os órgãos públicos legitimados poderão tomar dos </w:t>
      </w:r>
      <w:proofErr w:type="gramStart"/>
      <w:r w:rsidRPr="002D3713">
        <w:rPr>
          <w:rFonts w:ascii="Times New Roman" w:eastAsia="Arial" w:hAnsi="Times New Roman" w:cs="Times New Roman"/>
          <w:sz w:val="24"/>
          <w:szCs w:val="24"/>
        </w:rPr>
        <w:t>interessados</w:t>
      </w:r>
      <w:r w:rsidR="007706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sz w:val="24"/>
          <w:szCs w:val="24"/>
        </w:rPr>
        <w:t>compromisso</w:t>
      </w:r>
      <w:proofErr w:type="gramEnd"/>
      <w:r w:rsidRPr="002D3713">
        <w:rPr>
          <w:rFonts w:ascii="Times New Roman" w:eastAsia="Arial" w:hAnsi="Times New Roman" w:cs="Times New Roman"/>
          <w:sz w:val="24"/>
          <w:szCs w:val="24"/>
        </w:rPr>
        <w:t xml:space="preserve"> de ajustamento de sua conduta às exigências legais, mediante cominações, que terá eficácia de título executivo extrajudicial.”</w:t>
      </w:r>
    </w:p>
    <w:p w14:paraId="123A86AB" w14:textId="77777777" w:rsidR="002D3713" w:rsidRPr="002D3713" w:rsidRDefault="002D3713" w:rsidP="00133F7F">
      <w:pPr>
        <w:spacing w:before="240" w:after="240"/>
        <w:ind w:firstLine="1701"/>
        <w:rPr>
          <w:rFonts w:ascii="Times New Roman" w:eastAsia="Arial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que ao Ministério Público cabe exercer a defesa dos direitos assegurados na Constituição Federal sempre que necessário for para a garantia do seu respeito pelos poderes municipais, nos termos do artigo 27, inciso I, da Lei n.º 8.625/93;</w:t>
      </w:r>
    </w:p>
    <w:p w14:paraId="6A4CFB3A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sz w:val="24"/>
          <w:szCs w:val="24"/>
        </w:rPr>
        <w:t>que ao Ministério Público compete zelar pel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 efetivo respeito dos Poderes Públicos aos direitos assegurados na Constituição, promovendo as medidas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necessárias </w:t>
      </w:r>
      <w:proofErr w:type="gramStart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gramEnd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sua garantia, e de proteger os direitos difusos e coletivos</w:t>
      </w:r>
      <w:r w:rsidRPr="002D3713">
        <w:rPr>
          <w:rFonts w:ascii="Times New Roman" w:eastAsia="Arial" w:hAnsi="Times New Roman" w:cs="Times New Roman"/>
          <w:sz w:val="24"/>
          <w:szCs w:val="24"/>
        </w:rPr>
        <w:t>, nos termos do artigo 129, incisos II e III, da Constituição Federal;</w:t>
      </w:r>
    </w:p>
    <w:p w14:paraId="264EC740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b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que o artigo 1º, inciso III, da Constituição Federal dispõe que a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República Federativa do Brasil tem como um de seus fundamentos dignidade da pessoa humana;</w:t>
      </w:r>
    </w:p>
    <w:p w14:paraId="373E9A4C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b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3º, incisos I, III e IV, da Constituição Federal estabelece que constituem objetivos fundamentais da República Federativa do Brasil construir uma sociedade livre, justa e solidária; erradicar a pobreza e a marginalização e reduzir as desigualdades sociais e regionais; e promover o bem de todos, sem preconceitos de origem, raça, sexo, cor, idade e quaisquer outras formas de discriminação;</w:t>
      </w:r>
    </w:p>
    <w:p w14:paraId="77B22A5A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que o artigo 6º da Constituição Federal, inserto no título “Dos Direitos e Garantias Fundamentais”, dispõe que a proteção à maternidade e à infância e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a assistência aos desamparados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são um direito social;</w:t>
      </w:r>
    </w:p>
    <w:p w14:paraId="090FA93F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que o artigo 22, inciso XXIII, da Constituição Federal disciplina que c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ompete privativamente à União legislar sobre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seguridade social;</w:t>
      </w:r>
    </w:p>
    <w:p w14:paraId="38DC94C1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23, inciso X, da Constituição Federal estabelece como competência comum da União, dos Estados, do Distrito Federal e dos Municípios combater as causas da pobreza e os fatores de marginalização, promovendo a integração social dos setores desfavorecidos;</w:t>
      </w:r>
    </w:p>
    <w:p w14:paraId="014372CE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que o artigo 37, inciso II, da Constituição Federal prevê que 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exoneração;</w:t>
      </w:r>
    </w:p>
    <w:p w14:paraId="1397EF47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 o artigo 37, inciso IX, da Constituição Federal preceitua que a lei estabelecerá os casos de contratação por tempo determinado para atender a necessidade temporária de </w:t>
      </w:r>
      <w:proofErr w:type="spellStart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excepcional</w:t>
      </w:r>
      <w:proofErr w:type="spellEnd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interesse público;</w:t>
      </w:r>
    </w:p>
    <w:p w14:paraId="46C3313D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37, § 2º, da Constituição Federal dispõe que a não observância do disposto nos incisos II e III implicará a nulidade do ato e a punição da autoridade responsável, nos termos da lei;</w:t>
      </w:r>
    </w:p>
    <w:p w14:paraId="4944CA36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 o artigo 193, </w:t>
      </w:r>
      <w:proofErr w:type="spellStart"/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>caput</w:t>
      </w:r>
      <w:proofErr w:type="spellEnd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, da Constituição Federal estabelece que a ordem social tem como objetivo o bem-estar e a justiça sociais;</w:t>
      </w:r>
    </w:p>
    <w:p w14:paraId="6F0E6211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194, </w:t>
      </w:r>
      <w:proofErr w:type="spellStart"/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>caput</w:t>
      </w:r>
      <w:proofErr w:type="spellEnd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, da Constituição Federal disciplina que a seguridade social compreende um conjunto integrado de ações de iniciativa dos Poderes Públicos e da sociedade, destinadas a assegurar os direitos relativos à saúde, à previdência e à assistência social;</w:t>
      </w:r>
    </w:p>
    <w:p w14:paraId="15D507F6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194, parágrafo único, incisos I, II e III, da Constituição Federal prevê que compete ao Poder Público, nos termos da lei, organizar a seguridade social, com base nos seguintes objetivos, dentre outros: universalidade da cobertura e do atendimento; uniformidade e equivalência dos benefícios e serviços às populações urbanas e rurais; e seletividade e distributividade na prestação dos benefícios e serviços;</w:t>
      </w:r>
    </w:p>
    <w:p w14:paraId="289F1D7E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203, </w:t>
      </w:r>
      <w:proofErr w:type="spellStart"/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>caput</w:t>
      </w:r>
      <w:proofErr w:type="spellEnd"/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e incisos, da Constituição Federal preceitua que a assistência social será prestada a quem dela necessitar, independentemente de contribuição à seguridade social, e tem por objetivos: a proteção à família, à maternidade, à infância, à adolescência e à velhice; o amparo às crianças e adolescentes carentes; a promoção da integração ao mercado de trabalho; a habilitação e reabilitação das pessoas portadoras de deficiência e a promoção de sua integração à vida comunitária; a garantia de um salário mínimo de benefício mensal à pessoa portadora de deficiência e ao idoso que comprovem não possuir meios de prover à própria manutenção ou de tê-la provida por sua família, conforme dispuser a lei; e a redução da vulnerabilidade socioeconômica de famílias em situação de pobreza ou de extrema pobreza;</w:t>
      </w:r>
    </w:p>
    <w:p w14:paraId="7B3B3C4B" w14:textId="301C68A0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204, inciso I, da Constituição Federal dispõe que as ações governamentais na área da assistência social serão organizadas tendo como uma de suas diretrizes a descentralização político-administrativa, cabendo a coordenação e as normas gerais à esfera federal e a coordenação e a execução dos </w:t>
      </w:r>
      <w:proofErr w:type="spellStart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respectivos</w:t>
      </w:r>
      <w:proofErr w:type="spellEnd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programas às esferas estadual e municipal, bem como a entidades beneficentes e de assistência social;</w:t>
      </w:r>
    </w:p>
    <w:p w14:paraId="2A84FB10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1º da Lei n.º 8.742/93 estabelece que a assistência social, direito do cidadão e dever do Estado, é Política de Seguridade Social não contributiva, que provê os mínimos sociais, realizada através de um conjunto integrado de ações de iniciativa pública e da sociedade, para garantir o atendimento às necessidades básicas;</w:t>
      </w:r>
    </w:p>
    <w:p w14:paraId="4AA06B5B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6º-C,</w:t>
      </w:r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>caput</w:t>
      </w:r>
      <w:proofErr w:type="spellEnd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 Lei n.º 8.742/93 disciplina que as proteções sociais, básica e especial, serão ofertadas precipuamente no Centro de Referência de Assistência Social (CRAS) e no Centro de Referência Especializado de Assistência Social (CREAS), </w:t>
      </w:r>
      <w:proofErr w:type="spellStart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respectivamente</w:t>
      </w:r>
      <w:proofErr w:type="spellEnd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pelas entidades sem fins lucrativos de assistência social de que trata o </w:t>
      </w:r>
      <w:proofErr w:type="spellStart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art</w:t>
      </w:r>
      <w:proofErr w:type="spellEnd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. 3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desta Lei;</w:t>
      </w:r>
    </w:p>
    <w:p w14:paraId="07435409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6º-E, parágrafo único,</w:t>
      </w:r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da Lei n.º 8.742/93 prevê que a formação das equipes de referência deverá considerar o número de famílias e indivíduos referenciados, os tipos e modalidades de atendimento e as aquisições que devem ser garantidas aos usuários, conforme deliberações do CNAS;</w:t>
      </w:r>
    </w:p>
    <w:p w14:paraId="3CFB85CE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15, incisos II, III, IV, V e VII,</w:t>
      </w:r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 Lei n.º 8.742/93 preceitua que compete aos Municípios efetuar o pagamento dos auxílios natalidade e funeral; executar os projetos de enfrentamento da pobreza, incluindo a parceria com organizações da sociedade civil; atender às ações assistenciais de caráter de emergência; prestar os serviços assistenciais de que trata o </w:t>
      </w:r>
      <w:proofErr w:type="spellStart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art</w:t>
      </w:r>
      <w:proofErr w:type="spellEnd"/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. 23 desta lei; e realizar o monitoramento e a avaliação da política de assistência social em seu âmbito;</w:t>
      </w:r>
    </w:p>
    <w:p w14:paraId="184913F1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o artigo 18, incisos I e II,</w:t>
      </w:r>
      <w:r w:rsidRPr="002D371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da Lei n.º 8.742/93 dispõe que compete ao Conselho Nacional de Assistência Social aprovar a Política Nacional de Assistência Social e normatizar as ações e regular a prestação de serviços de natureza pública e privada no campo da assistência social;</w:t>
      </w:r>
    </w:p>
    <w:p w14:paraId="468ED1CD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CONSIDERANDO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que, conforme seu artigo 31, cabe ao Ministério Público zelar pelo efetivo respeito aos direitos estabelecidos na Lei n.º 8.742/93;</w:t>
      </w:r>
    </w:p>
    <w:p w14:paraId="701389B9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 o Conselho Nacional de Assistência Social – CNAS editou a Resolução n.º 269, de 14 de dezembro de 2006, por meio da qual aprovou a Norma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Operacional Básica de Recursos Humanos do Sistema Único de Assistência Social– NOB-RH/SUAS;</w:t>
      </w:r>
    </w:p>
    <w:p w14:paraId="38977FC2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 a Norma Operacional Básica de Recursos Humanos do Sistema Único de Assistência Social– NOB-RH/SUAS, no seu capítulo “IV – Equipes de Referência”, estabelece que o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CRAS – Centro de Referência da Assistência Social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, órgão responsável pela proteção social básica, pode ter até 2.500 famílias referenciadas em municípios de pequeno porte I, com capacidade de atendimento anual de 500 famílias, devendo a equipe ser composta, minimamente, de 2 técnicos de nível superior – sendo um assistente social e, preferencialmente, um psicólogo – e 2 técnicos de nível médio (agentes administrativos e orientadores sociais), além do coordenador, que deve ser de nível superior e concursado;</w:t>
      </w:r>
    </w:p>
    <w:p w14:paraId="270D1191" w14:textId="77777777" w:rsidR="002D3713" w:rsidRPr="002D3713" w:rsidRDefault="002D3713" w:rsidP="00133F7F">
      <w:pPr>
        <w:tabs>
          <w:tab w:val="left" w:pos="2240"/>
        </w:tabs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que, conforme Orientações Técnicas do Ministério do Desenvolvimento Social e Combate à Fome, os técnicos de nível médio do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CRAS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devem ter perfil de “agente administrativo” e/ou “agente social e/ou orientador social”;</w:t>
      </w:r>
    </w:p>
    <w:p w14:paraId="3B67A438" w14:textId="77777777" w:rsidR="002D3713" w:rsidRP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2240"/>
        </w:tabs>
        <w:spacing w:before="240" w:after="240"/>
        <w:ind w:firstLine="1701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 a Norma Operacional Básica de Recursos Humanos do Sistema Único de Assistência Social– NOB-RH/SUAS, no seu capítulo “IV – Equipes de Referência”, disciplina que o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REAS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– Centro de Referência Especializado de Assistência Social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, órgão responsável pela proteção social especial de média complexidade, cada equipamento tem capacidade de atendimento de 50 pessoas, devendo a equipe ser composta, minimamente, de 1 coordenador (nível superior e concursado), 1 assistente social, 1 psicólogo, 1 advogado, 2 profissionais de nível superior ou médio para abordagem de usuários e 1 auxiliar administrativo;</w:t>
      </w:r>
    </w:p>
    <w:p w14:paraId="1213C932" w14:textId="77777777" w:rsidR="002D3713" w:rsidRPr="002D3713" w:rsidRDefault="002D3713" w:rsidP="00133F7F">
      <w:pPr>
        <w:tabs>
          <w:tab w:val="left" w:pos="2240"/>
        </w:tabs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que, conforme apurado no Inquérito Civil em referência, a equipe do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CRAS</w:t>
      </w:r>
      <w:r w:rsidRPr="002D371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(nome do CRAS)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é formada p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or </w:t>
      </w:r>
      <w:r w:rsidRPr="00133F7F">
        <w:rPr>
          <w:rFonts w:ascii="Times New Roman" w:eastAsia="Arial" w:hAnsi="Times New Roman" w:cs="Times New Roman"/>
          <w:sz w:val="24"/>
          <w:szCs w:val="24"/>
          <w:highlight w:val="yellow"/>
        </w:rPr>
        <w:t>[Descrição da equipe]</w:t>
      </w:r>
      <w:r w:rsidRPr="00133F7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;</w:t>
      </w:r>
    </w:p>
    <w:p w14:paraId="1C1A3645" w14:textId="77777777" w:rsidR="002D3713" w:rsidRPr="002D3713" w:rsidRDefault="002D3713" w:rsidP="00133F7F">
      <w:pPr>
        <w:tabs>
          <w:tab w:val="left" w:pos="2240"/>
        </w:tabs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que, conforme apurado neste mesmo Inquérito Civil, a equipe do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CREAS (nome do CREAS e município)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é formada pelo: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(nomear os profissionais que trabalham no CREAS e o número de vagas preenchidas)</w:t>
      </w:r>
      <w:r w:rsidRPr="002D3713">
        <w:rPr>
          <w:rFonts w:ascii="Times New Roman" w:eastAsia="Arial" w:hAnsi="Times New Roman" w:cs="Times New Roman"/>
          <w:sz w:val="24"/>
          <w:szCs w:val="24"/>
        </w:rPr>
        <w:t>;</w:t>
      </w:r>
    </w:p>
    <w:p w14:paraId="34A0A3E6" w14:textId="70DF1746" w:rsidR="002D3713" w:rsidRPr="002D3713" w:rsidRDefault="002D3713" w:rsidP="00133F7F">
      <w:pPr>
        <w:tabs>
          <w:tab w:val="left" w:pos="2240"/>
        </w:tabs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 o </w:t>
      </w:r>
      <w:r w:rsidRPr="00133F7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Município de </w:t>
      </w:r>
      <w:r w:rsidR="00133F7F" w:rsidRPr="00133F7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__________</w:t>
      </w:r>
      <w:r w:rsidR="00133F7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apresentaria as seguintes inconsistências quanto à composição da equipe de referência prevista na NOB-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RH/SUAS: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(Nomear as principais situações que são incompatíveis com o disposto na NOB-RH/SUAS em relação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às equipes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de referência).</w:t>
      </w:r>
    </w:p>
    <w:p w14:paraId="11BC7630" w14:textId="77777777" w:rsidR="002D3713" w:rsidRPr="002D3713" w:rsidRDefault="002D3713" w:rsidP="00133F7F">
      <w:pPr>
        <w:tabs>
          <w:tab w:val="left" w:pos="2240"/>
        </w:tabs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CONSIDERANDO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que o Município (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nome do município)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por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seu/sua prefeito(a)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(nome do (a) Prefeito(a))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, tem interesse em criar e prover os cargos públicos necessários para regularizar a composição das equipes de referência do C</w:t>
      </w:r>
      <w:r w:rsidRPr="002D3713">
        <w:rPr>
          <w:rFonts w:ascii="Times New Roman" w:eastAsia="Arial" w:hAnsi="Times New Roman" w:cs="Times New Roman"/>
          <w:sz w:val="24"/>
          <w:szCs w:val="24"/>
        </w:rPr>
        <w:t>RAS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Centro de Referência da Assistência Social e do C</w:t>
      </w:r>
      <w:r w:rsidRPr="002D3713">
        <w:rPr>
          <w:rFonts w:ascii="Times New Roman" w:eastAsia="Arial" w:hAnsi="Times New Roman" w:cs="Times New Roman"/>
          <w:sz w:val="24"/>
          <w:szCs w:val="24"/>
        </w:rPr>
        <w:t>REAS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Centro de Referência Especializado de Assistência Social</w:t>
      </w:r>
      <w:r w:rsidRPr="002D3713">
        <w:rPr>
          <w:rFonts w:ascii="Times New Roman" w:eastAsia="Arial" w:hAnsi="Times New Roman" w:cs="Times New Roman"/>
          <w:sz w:val="24"/>
          <w:szCs w:val="24"/>
        </w:rPr>
        <w:t>:</w:t>
      </w:r>
    </w:p>
    <w:p w14:paraId="060EDBCB" w14:textId="77777777" w:rsidR="002D3713" w:rsidRPr="002D3713" w:rsidRDefault="002D3713" w:rsidP="00133F7F">
      <w:pPr>
        <w:spacing w:before="240" w:after="240"/>
        <w:ind w:firstLine="1701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  <w:u w:val="single"/>
        </w:rPr>
        <w:t>RESOLVEM</w:t>
      </w:r>
    </w:p>
    <w:p w14:paraId="0312B1BF" w14:textId="77777777" w:rsidR="002D3713" w:rsidRPr="002D3713" w:rsidRDefault="002D3713" w:rsidP="00133F7F">
      <w:pPr>
        <w:spacing w:before="240" w:after="240"/>
        <w:ind w:firstLine="1701"/>
        <w:rPr>
          <w:rFonts w:ascii="Times New Roman" w:eastAsia="Arial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sz w:val="24"/>
          <w:szCs w:val="24"/>
        </w:rPr>
        <w:t xml:space="preserve">Firmar o presente </w:t>
      </w:r>
      <w:r w:rsidRPr="002D3713">
        <w:rPr>
          <w:rFonts w:ascii="Times New Roman" w:eastAsia="Arial" w:hAnsi="Times New Roman" w:cs="Times New Roman"/>
          <w:b/>
          <w:sz w:val="24"/>
          <w:szCs w:val="24"/>
          <w:u w:val="single"/>
        </w:rPr>
        <w:t>COMPROMISSO DE AJUSTAMENTO DE CONDUTA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com fulcro no artigo 5º, § 6º, da Lei n.º 7.347/85, mediante os seguintes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TERMOS:</w:t>
      </w:r>
    </w:p>
    <w:p w14:paraId="7F39AC4C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Cláusula 1ª.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 Município de 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(nome do município) 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se compromete a adequar plenamente a composição das equipes de referência do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CRAS – Centro de Referência da Assistência Social e do CREAS – Centro de Referência Especializado de Assistência Social ao previsto na Norma Operacional Básica de Recursos Humanos do Sistema Único de Assistência Social– NOB-RH/SUAS, aprovada pelo Conselho Nacional de Assistência Social – CNAS por meio de sua Resolução n.º 269, de 14 de dezembro de 2006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até a data de </w:t>
      </w:r>
      <w:r w:rsidRPr="00133F7F">
        <w:rPr>
          <w:rFonts w:ascii="Times New Roman" w:eastAsia="Arial" w:hAnsi="Times New Roman" w:cs="Times New Roman"/>
          <w:b/>
          <w:sz w:val="24"/>
          <w:szCs w:val="24"/>
          <w:highlight w:val="yellow"/>
          <w:u w:val="single"/>
        </w:rPr>
        <w:t>DD/MM/AAAA</w:t>
      </w:r>
      <w:r w:rsidRPr="002D3713">
        <w:rPr>
          <w:rFonts w:ascii="Times New Roman" w:eastAsia="Arial" w:hAnsi="Times New Roman" w:cs="Times New Roman"/>
          <w:sz w:val="24"/>
          <w:szCs w:val="24"/>
        </w:rPr>
        <w:t>, da seguinte forma:</w:t>
      </w:r>
    </w:p>
    <w:p w14:paraId="6293DD7D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>I –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Prover e, se necessário, criar os seguintes cargos ou empregos públicos, de natureza efetiva, para exercício no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CREAS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5DA4FB52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b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a) 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NOMEAR OS CARGOS OBRIGATÓRIOS QUE COMPÕEM A EQUIPE DE REFERÊNCIA DO CREAS CONFORME O PORTE DO MUNICÍPIO</w:t>
      </w:r>
    </w:p>
    <w:p w14:paraId="1D4A5CBF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b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II –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Prover e, se necessário, criar os seguintes cargos ou empregos públicos, de natureza efetiva, para exercício no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CRAS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6712187" w14:textId="090E1AD0" w:rsidR="002D3713" w:rsidRPr="00340297" w:rsidRDefault="002D3713" w:rsidP="00133F7F">
      <w:pPr>
        <w:spacing w:before="240" w:after="240"/>
        <w:ind w:firstLine="1701"/>
        <w:rPr>
          <w:rFonts w:ascii="Times New Roman" w:hAnsi="Times New Roman" w:cs="Times New Roman"/>
          <w:b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a)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NOMEAR OS CARGOS OBRIGATÓRIOS QUE COMPÕEM A EQUIPE DE REFERÊNCIA DO CRAS CONFORME O PORTE DO MUNICÍPIO</w:t>
      </w:r>
    </w:p>
    <w:p w14:paraId="5D1FEC1E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Parágrafo único.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compromissário manterá, a todo tempo, providos os cargos ou empregos atualmente em exercício no CREAS e no CRAS.</w:t>
      </w:r>
    </w:p>
    <w:p w14:paraId="2CB21DF5" w14:textId="11D8DB87" w:rsidR="002D3713" w:rsidRPr="002D3713" w:rsidRDefault="002D3713" w:rsidP="00133F7F">
      <w:pPr>
        <w:spacing w:before="240" w:after="240"/>
        <w:ind w:firstLine="1701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Cláusula 2ª.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</w:t>
      </w:r>
      <w:r w:rsidRPr="00133F7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Município de </w:t>
      </w:r>
      <w:r w:rsidR="00133F7F" w:rsidRPr="00133F7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__________</w:t>
      </w:r>
      <w:r w:rsidRPr="002D3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 compromete a, provisoriamente, enquanto não for exigido o cumprimento do previsto nos incisos I e II da cláusula 1ª, manter providos os empregos públicos, com natureza temporária, de </w:t>
      </w:r>
      <w:r w:rsidRPr="002D3713">
        <w:rPr>
          <w:rFonts w:ascii="Times New Roman" w:eastAsia="Arial" w:hAnsi="Times New Roman" w:cs="Times New Roman"/>
          <w:sz w:val="24"/>
          <w:szCs w:val="24"/>
          <w:highlight w:val="yellow"/>
        </w:rPr>
        <w:t>(listar profissionais de cargo ou emprego, com natureza temporária, necessários para a prestação do serviço), para exercício no CREAS).</w:t>
      </w:r>
    </w:p>
    <w:p w14:paraId="4833F86D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Cláusula 3ª. </w:t>
      </w:r>
      <w:r w:rsidRPr="002D3713">
        <w:rPr>
          <w:rFonts w:ascii="Times New Roman" w:eastAsia="Arial" w:hAnsi="Times New Roman" w:cs="Times New Roman"/>
          <w:sz w:val="24"/>
          <w:szCs w:val="24"/>
          <w:u w:val="single"/>
        </w:rPr>
        <w:t>O não-cumprimento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de qualquer das cláusulas do presente acarretará em </w:t>
      </w:r>
      <w:r w:rsidRPr="002D3713">
        <w:rPr>
          <w:rFonts w:ascii="Times New Roman" w:eastAsia="Arial" w:hAnsi="Times New Roman" w:cs="Times New Roman"/>
          <w:sz w:val="24"/>
          <w:szCs w:val="24"/>
          <w:u w:val="single"/>
        </w:rPr>
        <w:t>multa pecuniária por dia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de omissão ou descumprimento, por parte da pessoa física representante legal, fixada o dia-multa no valor de </w:t>
      </w:r>
      <w:r w:rsidRPr="002D3713">
        <w:rPr>
          <w:rFonts w:ascii="Times New Roman" w:eastAsia="Arial" w:hAnsi="Times New Roman" w:cs="Times New Roman"/>
          <w:b/>
          <w:sz w:val="24"/>
          <w:szCs w:val="24"/>
          <w:u w:val="single"/>
        </w:rPr>
        <w:t>R$ 500,00 (quinhentos reais)</w:t>
      </w:r>
      <w:r w:rsidRPr="002D3713">
        <w:rPr>
          <w:rFonts w:ascii="Times New Roman" w:eastAsia="Arial" w:hAnsi="Times New Roman" w:cs="Times New Roman"/>
          <w:sz w:val="24"/>
          <w:szCs w:val="24"/>
        </w:rPr>
        <w:t>, por c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argo ou emprego não provido</w:t>
      </w:r>
      <w:r w:rsidRPr="002D3713">
        <w:rPr>
          <w:rFonts w:ascii="Times New Roman" w:eastAsia="Arial" w:hAnsi="Times New Roman" w:cs="Times New Roman"/>
          <w:sz w:val="24"/>
          <w:szCs w:val="24"/>
        </w:rPr>
        <w:t>, reajustáveis pelos índices oficiais, sem prejuízo da aplicação das penas previstas na legislação constitucional e infraconstitucional, notadamente aquelas dispostas na Lei de Improbidade Administrativa (Lei n.º 8.429/92 e suas posteriores alterações).</w:t>
      </w:r>
    </w:p>
    <w:p w14:paraId="0CCE3ED3" w14:textId="77777777" w:rsidR="002D3713" w:rsidRPr="002D3713" w:rsidRDefault="002D3713" w:rsidP="00133F7F">
      <w:pPr>
        <w:spacing w:before="240" w:after="240"/>
        <w:ind w:firstLine="1701"/>
        <w:rPr>
          <w:rFonts w:ascii="Times New Roman" w:eastAsia="Arial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Cláusula 4ª. 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Por motivo plenamente justificado pode haver, </w:t>
      </w:r>
      <w:proofErr w:type="spellStart"/>
      <w:r w:rsidRPr="002D3713">
        <w:rPr>
          <w:rFonts w:ascii="Times New Roman" w:eastAsia="Arial" w:hAnsi="Times New Roman" w:cs="Times New Roman"/>
          <w:sz w:val="24"/>
          <w:szCs w:val="24"/>
        </w:rPr>
        <w:t>excepcionalmente</w:t>
      </w:r>
      <w:proofErr w:type="spellEnd"/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dilação dos prazos estipulados neste Termo de Compromisso, sendo que referida dilação deve ser solicitada antes da fluir o prazo que se pretende dilatar e deve ser expressamente deferida pelo Ministério Público </w:t>
      </w:r>
      <w:proofErr w:type="spellStart"/>
      <w:r w:rsidRPr="002D3713">
        <w:rPr>
          <w:rFonts w:ascii="Times New Roman" w:eastAsia="Arial" w:hAnsi="Times New Roman" w:cs="Times New Roman"/>
          <w:sz w:val="24"/>
          <w:szCs w:val="24"/>
        </w:rPr>
        <w:t>subscrevente</w:t>
      </w:r>
      <w:proofErr w:type="spellEnd"/>
      <w:r w:rsidRPr="002D3713">
        <w:rPr>
          <w:rFonts w:ascii="Times New Roman" w:eastAsia="Arial" w:hAnsi="Times New Roman" w:cs="Times New Roman"/>
          <w:sz w:val="24"/>
          <w:szCs w:val="24"/>
        </w:rPr>
        <w:t>.</w:t>
      </w:r>
    </w:p>
    <w:p w14:paraId="5F4CD43B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Cláusula 5ª. 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O presente compromisso de ajustamento deverá ser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publicado na imprensa oficial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e enviada cópia à Câmara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Municipal e ao Conselho Municipal de Assistência Social</w:t>
      </w:r>
      <w:r w:rsidRPr="002D3713">
        <w:rPr>
          <w:rFonts w:ascii="Times New Roman" w:eastAsia="Arial" w:hAnsi="Times New Roman" w:cs="Times New Roman"/>
          <w:sz w:val="24"/>
          <w:szCs w:val="24"/>
        </w:rPr>
        <w:t>.</w:t>
      </w:r>
    </w:p>
    <w:p w14:paraId="2176C263" w14:textId="77777777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>Cláusula 6ª.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Fica ressalvada ao Ministério Público a análise pormenorizada do provimento dos cargos e empregos mencionados nas cláusulas 1ª e 2ª, tendo o Ministério Público o dever de, se for o caso, tomar as medidas legais cabíveis, em relação aos responsáveis pelo seu descumprimento.</w:t>
      </w:r>
    </w:p>
    <w:p w14:paraId="640C1978" w14:textId="5007AE86" w:rsidR="002D3713" w:rsidRPr="002D3713" w:rsidRDefault="002D3713" w:rsidP="00133F7F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Parágrafo único. 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133F7F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Município de </w:t>
      </w:r>
      <w:r w:rsidR="00133F7F" w:rsidRPr="00133F7F">
        <w:rPr>
          <w:rFonts w:ascii="Times New Roman" w:eastAsia="Arial" w:hAnsi="Times New Roman" w:cs="Times New Roman"/>
          <w:sz w:val="24"/>
          <w:szCs w:val="24"/>
          <w:highlight w:val="yellow"/>
        </w:rPr>
        <w:t>_______________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se compromete, caso lhe for em algum momento requisitado, a fornecer ao Ministério Público, no prazo de 10 (dez) dias úteis, </w:t>
      </w: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cópias de leis que criarem os cargos e empregos públicos mencionados neste termo, bem como dos atos de nomeação e termos de posse que lhes digam respeito</w:t>
      </w:r>
      <w:r w:rsidRPr="002D3713">
        <w:rPr>
          <w:rFonts w:ascii="Times New Roman" w:eastAsia="Arial" w:hAnsi="Times New Roman" w:cs="Times New Roman"/>
          <w:sz w:val="24"/>
          <w:szCs w:val="24"/>
        </w:rPr>
        <w:t>.</w:t>
      </w:r>
    </w:p>
    <w:p w14:paraId="3F39F1B4" w14:textId="77777777" w:rsidR="002D3713" w:rsidRPr="002D3713" w:rsidRDefault="002D3713" w:rsidP="00133F7F">
      <w:pPr>
        <w:spacing w:before="240" w:after="240"/>
        <w:ind w:firstLine="1701"/>
        <w:rPr>
          <w:rFonts w:ascii="Times New Roman" w:eastAsia="Arial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lastRenderedPageBreak/>
        <w:t>Cláusula 7ª.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 O presente compromisso de ajustamento entra em vigor e produz efeito imediatamente, logo após a aposição das assinaturas pelas partes.</w:t>
      </w:r>
    </w:p>
    <w:p w14:paraId="2CFA4974" w14:textId="765B0DF5" w:rsidR="002D3713" w:rsidRDefault="002D3713" w:rsidP="00133F7F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40" w:after="240"/>
        <w:ind w:firstLine="170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D3713">
        <w:rPr>
          <w:rFonts w:ascii="Times New Roman" w:eastAsia="Arial" w:hAnsi="Times New Roman" w:cs="Times New Roman"/>
          <w:color w:val="000000"/>
          <w:sz w:val="24"/>
          <w:szCs w:val="24"/>
        </w:rPr>
        <w:t>Por fim, por estarem compromissados, firmam este TERMO em 2 (duas) vias de igual teor, que terá eficácia de título executivo extrajudicial, na forma da lei.</w:t>
      </w:r>
    </w:p>
    <w:p w14:paraId="1E335AEE" w14:textId="77777777" w:rsidR="00935DF3" w:rsidRPr="002D3713" w:rsidRDefault="00935DF3" w:rsidP="002D371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477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AC95C11" w14:textId="77777777" w:rsidR="00935DF3" w:rsidRDefault="00935DF3" w:rsidP="00935DF3">
      <w:pPr>
        <w:tabs>
          <w:tab w:val="left" w:pos="5046"/>
        </w:tabs>
        <w:ind w:right="2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Pr="00DA30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aos</w:t>
      </w:r>
      <w:r w:rsidRPr="00DA30BA">
        <w:rPr>
          <w:rFonts w:ascii="Times New Roman" w:hAnsi="Times New Roman" w:cs="Times New Roman"/>
          <w:sz w:val="24"/>
          <w:szCs w:val="24"/>
        </w:rPr>
        <w:t>___ de ________________de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30BA">
        <w:rPr>
          <w:rFonts w:ascii="Times New Roman" w:hAnsi="Times New Roman" w:cs="Times New Roman"/>
          <w:sz w:val="24"/>
          <w:szCs w:val="24"/>
        </w:rPr>
        <w:t>.</w:t>
      </w:r>
    </w:p>
    <w:p w14:paraId="71160F6F" w14:textId="333417BB" w:rsidR="00935DF3" w:rsidRDefault="00935DF3" w:rsidP="00935DF3">
      <w:pPr>
        <w:tabs>
          <w:tab w:val="left" w:pos="5046"/>
        </w:tabs>
        <w:ind w:right="227"/>
        <w:jc w:val="center"/>
        <w:rPr>
          <w:rFonts w:ascii="Times New Roman" w:hAnsi="Times New Roman" w:cs="Times New Roman"/>
          <w:sz w:val="24"/>
          <w:szCs w:val="24"/>
        </w:rPr>
      </w:pPr>
    </w:p>
    <w:p w14:paraId="707F2E68" w14:textId="77777777" w:rsidR="00935DF3" w:rsidRDefault="00935DF3" w:rsidP="00935DF3">
      <w:pPr>
        <w:tabs>
          <w:tab w:val="left" w:pos="5046"/>
        </w:tabs>
        <w:ind w:right="227"/>
        <w:jc w:val="center"/>
        <w:rPr>
          <w:rFonts w:ascii="Times New Roman" w:hAnsi="Times New Roman" w:cs="Times New Roman"/>
          <w:sz w:val="24"/>
          <w:szCs w:val="24"/>
        </w:rPr>
      </w:pPr>
    </w:p>
    <w:p w14:paraId="7EDCEB6F" w14:textId="0F061AF9" w:rsidR="002D3713" w:rsidRPr="00935DF3" w:rsidRDefault="002D3713" w:rsidP="00340297">
      <w:pPr>
        <w:tabs>
          <w:tab w:val="left" w:pos="5046"/>
        </w:tabs>
        <w:spacing w:before="0" w:after="0"/>
        <w:ind w:right="227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935DF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</w:t>
      </w:r>
      <w:r w:rsidR="0034029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ome</w:t>
      </w:r>
    </w:p>
    <w:p w14:paraId="7C40F71C" w14:textId="0C286074" w:rsidR="002D3713" w:rsidRPr="00935DF3" w:rsidRDefault="002D3713" w:rsidP="00340297">
      <w:pPr>
        <w:tabs>
          <w:tab w:val="left" w:pos="5103"/>
        </w:tabs>
        <w:spacing w:before="0" w:after="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935DF3">
        <w:rPr>
          <w:rFonts w:ascii="Times New Roman" w:eastAsia="Arial" w:hAnsi="Times New Roman" w:cs="Times New Roman"/>
          <w:bCs/>
          <w:sz w:val="24"/>
          <w:szCs w:val="24"/>
        </w:rPr>
        <w:t>Promotor</w:t>
      </w:r>
      <w:r w:rsidR="00935DF3" w:rsidRPr="00935DF3">
        <w:rPr>
          <w:rFonts w:ascii="Times New Roman" w:eastAsia="Arial" w:hAnsi="Times New Roman" w:cs="Times New Roman"/>
          <w:bCs/>
          <w:sz w:val="24"/>
          <w:szCs w:val="24"/>
        </w:rPr>
        <w:t>/</w:t>
      </w:r>
      <w:r w:rsidRPr="00935DF3">
        <w:rPr>
          <w:rFonts w:ascii="Times New Roman" w:eastAsia="Arial" w:hAnsi="Times New Roman" w:cs="Times New Roman"/>
          <w:bCs/>
          <w:sz w:val="24"/>
          <w:szCs w:val="24"/>
        </w:rPr>
        <w:t>a de Justiça</w:t>
      </w:r>
    </w:p>
    <w:p w14:paraId="268C60FA" w14:textId="72712BF0" w:rsidR="00935DF3" w:rsidRDefault="00935DF3" w:rsidP="00935DF3">
      <w:pPr>
        <w:tabs>
          <w:tab w:val="left" w:pos="510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AAF7D36" w14:textId="77777777" w:rsidR="00935DF3" w:rsidRPr="002D3713" w:rsidRDefault="00935DF3" w:rsidP="00935DF3">
      <w:pPr>
        <w:tabs>
          <w:tab w:val="left" w:pos="510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354DBB0" w14:textId="208C5F65" w:rsidR="002D3713" w:rsidRPr="00AB5A97" w:rsidRDefault="002D3713" w:rsidP="00340297">
      <w:pPr>
        <w:tabs>
          <w:tab w:val="left" w:pos="0"/>
        </w:tabs>
        <w:spacing w:before="0" w:after="0"/>
        <w:ind w:left="-5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highlight w:val="yellow"/>
        </w:rPr>
      </w:pPr>
      <w:r w:rsidRPr="00AB5A97">
        <w:rPr>
          <w:rFonts w:ascii="Times New Roman" w:eastAsia="Arial" w:hAnsi="Times New Roman" w:cs="Times New Roman"/>
          <w:b/>
          <w:color w:val="000000"/>
          <w:sz w:val="24"/>
          <w:szCs w:val="24"/>
          <w:highlight w:val="yellow"/>
        </w:rPr>
        <w:t>N</w:t>
      </w:r>
      <w:r w:rsidR="00340297">
        <w:rPr>
          <w:rFonts w:ascii="Times New Roman" w:eastAsia="Arial" w:hAnsi="Times New Roman" w:cs="Times New Roman"/>
          <w:b/>
          <w:color w:val="000000"/>
          <w:sz w:val="24"/>
          <w:szCs w:val="24"/>
          <w:highlight w:val="yellow"/>
        </w:rPr>
        <w:t>ome</w:t>
      </w:r>
    </w:p>
    <w:p w14:paraId="497CEC24" w14:textId="2824CF4E" w:rsidR="002D3713" w:rsidRPr="002D3713" w:rsidRDefault="002D3713" w:rsidP="00340297">
      <w:pPr>
        <w:tabs>
          <w:tab w:val="left" w:pos="5103"/>
        </w:tabs>
        <w:spacing w:before="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B5A97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Prefeito</w:t>
      </w:r>
      <w:r w:rsidR="00935DF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/</w:t>
      </w:r>
      <w:r w:rsidRPr="00AB5A97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a Municipal</w:t>
      </w:r>
    </w:p>
    <w:p w14:paraId="587C0EEC" w14:textId="77777777" w:rsidR="002D3713" w:rsidRPr="002D3713" w:rsidRDefault="002D3713" w:rsidP="002D3713">
      <w:pPr>
        <w:tabs>
          <w:tab w:val="left" w:pos="5103"/>
        </w:tabs>
        <w:spacing w:after="71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A555884" w14:textId="77777777" w:rsidR="002D3713" w:rsidRPr="002D3713" w:rsidRDefault="002D3713" w:rsidP="002D3713">
      <w:pPr>
        <w:tabs>
          <w:tab w:val="left" w:pos="5103"/>
        </w:tabs>
        <w:spacing w:after="71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7317F32" w14:textId="77777777" w:rsidR="002D3713" w:rsidRPr="002D3713" w:rsidRDefault="002D3713" w:rsidP="002D3713">
      <w:pPr>
        <w:tabs>
          <w:tab w:val="left" w:pos="5103"/>
        </w:tabs>
        <w:spacing w:after="71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0E96054" w14:textId="77777777" w:rsidR="002D3713" w:rsidRPr="002D3713" w:rsidRDefault="002D3713" w:rsidP="002D3713">
      <w:pPr>
        <w:tabs>
          <w:tab w:val="left" w:pos="5103"/>
        </w:tabs>
        <w:spacing w:after="71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DC99C96" w14:textId="01331A7E" w:rsidR="002D3713" w:rsidRPr="002D3713" w:rsidRDefault="002D3713" w:rsidP="00340297">
      <w:pPr>
        <w:tabs>
          <w:tab w:val="left" w:pos="510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 xml:space="preserve">ANEXOS </w:t>
      </w:r>
    </w:p>
    <w:p w14:paraId="0A88E270" w14:textId="34D14D03" w:rsidR="002D3713" w:rsidRDefault="002D3713" w:rsidP="002D3713">
      <w:pPr>
        <w:numPr>
          <w:ilvl w:val="0"/>
          <w:numId w:val="8"/>
        </w:numPr>
        <w:spacing w:before="0"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>Parâmetros definidores das Equipes de referência do CREAS</w:t>
      </w:r>
    </w:p>
    <w:p w14:paraId="5C844AD6" w14:textId="77777777" w:rsidR="00340297" w:rsidRPr="002D3713" w:rsidRDefault="00340297" w:rsidP="00340297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596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51"/>
        <w:gridCol w:w="2284"/>
        <w:gridCol w:w="3603"/>
      </w:tblGrid>
      <w:tr w:rsidR="002D3713" w:rsidRPr="002D3713" w14:paraId="31D36807" w14:textId="77777777" w:rsidTr="00785326"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A227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Municípios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863D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Capacidade de atendimento/</w:t>
            </w:r>
          </w:p>
          <w:p w14:paraId="313AA45C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acompanhamento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1ADD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Equipe de referência</w:t>
            </w:r>
          </w:p>
        </w:tc>
      </w:tr>
      <w:tr w:rsidR="002D3713" w:rsidRPr="002D3713" w14:paraId="16956341" w14:textId="77777777" w:rsidTr="00785326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A2EC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Porte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EB0F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Nível de gestão</w:t>
            </w: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888D" w14:textId="77777777" w:rsidR="002D3713" w:rsidRPr="002D3713" w:rsidRDefault="002D3713" w:rsidP="00785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447D" w14:textId="77777777" w:rsidR="002D3713" w:rsidRPr="002D3713" w:rsidRDefault="002D3713" w:rsidP="00785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D3713" w:rsidRPr="002D3713" w14:paraId="1CC3D597" w14:textId="77777777" w:rsidTr="00785326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6131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Pequeno Porte I e II e Médio Porte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97ED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Gestão inicial, básica ou plena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3425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50 casos (famílias e/ou indivíduos)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2922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1 Coordenador (nível superior)</w:t>
            </w:r>
          </w:p>
          <w:p w14:paraId="7D46F84E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1 Assistente Social</w:t>
            </w:r>
          </w:p>
          <w:p w14:paraId="26B0CB63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1 Psicólogo </w:t>
            </w:r>
          </w:p>
          <w:p w14:paraId="677762F7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1 Advogado</w:t>
            </w:r>
          </w:p>
          <w:p w14:paraId="6A1C7AF0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2 profissionais de nível superior ou médio (abordagem social)</w:t>
            </w:r>
          </w:p>
          <w:p w14:paraId="61A547E4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1 Auxiliar administrativo (nível médio completo)</w:t>
            </w:r>
          </w:p>
        </w:tc>
      </w:tr>
      <w:tr w:rsidR="002D3713" w:rsidRPr="002D3713" w14:paraId="2A734076" w14:textId="77777777" w:rsidTr="00785326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BA94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Grande porte, metrópole e DF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867F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Gestão inicial, básica ou plena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A1F6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80 casos (famílias e/ou indivíduos)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1C74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1 Coordenador (nível superior)</w:t>
            </w:r>
          </w:p>
          <w:p w14:paraId="33ED6FEC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2 Assistentes Sociais</w:t>
            </w:r>
          </w:p>
          <w:p w14:paraId="36EB8C26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2 Psicólogos </w:t>
            </w:r>
          </w:p>
          <w:p w14:paraId="056C585D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1 Advogado</w:t>
            </w:r>
          </w:p>
          <w:p w14:paraId="288690FF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4 profissionais de nível superior ou médio (abordagem social)</w:t>
            </w:r>
          </w:p>
          <w:p w14:paraId="4D755CBB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2 Auxiliares administrativos</w:t>
            </w:r>
          </w:p>
        </w:tc>
      </w:tr>
    </w:tbl>
    <w:p w14:paraId="227CB022" w14:textId="7D275A67" w:rsidR="002D3713" w:rsidRDefault="002D3713" w:rsidP="002D3713">
      <w:pPr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69C42521" w14:textId="24D1607F" w:rsidR="00340297" w:rsidRDefault="00340297" w:rsidP="002D3713">
      <w:pPr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0F6FA522" w14:textId="491EB748" w:rsidR="00340297" w:rsidRDefault="00340297" w:rsidP="002D3713">
      <w:pPr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65F95CBC" w14:textId="77777777" w:rsidR="00340297" w:rsidRPr="002D3713" w:rsidRDefault="00340297" w:rsidP="002D3713">
      <w:pPr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247DC3D9" w14:textId="60051E31" w:rsidR="002D3713" w:rsidRDefault="002D3713" w:rsidP="002D3713">
      <w:pPr>
        <w:numPr>
          <w:ilvl w:val="0"/>
          <w:numId w:val="8"/>
        </w:numPr>
        <w:spacing w:before="0"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</w:rPr>
        <w:t>Parâmetros definidores das Equipes de referência do CRAS</w:t>
      </w:r>
    </w:p>
    <w:p w14:paraId="3F642D85" w14:textId="77777777" w:rsidR="00340297" w:rsidRPr="002D3713" w:rsidRDefault="00340297" w:rsidP="00340297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638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3185"/>
        <w:gridCol w:w="3216"/>
      </w:tblGrid>
      <w:tr w:rsidR="002D3713" w:rsidRPr="002D3713" w14:paraId="2ED2CCA1" w14:textId="77777777" w:rsidTr="00785326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F17DA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CENTROS DE REFERÊNCIA DA ASSISTÊNCIA SOCIAL - CRAS </w:t>
            </w:r>
          </w:p>
        </w:tc>
      </w:tr>
      <w:tr w:rsidR="002D3713" w:rsidRPr="002D3713" w14:paraId="5B86F079" w14:textId="77777777" w:rsidTr="00785326">
        <w:trPr>
          <w:trHeight w:val="415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10C6F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Pequeno Porte I 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6F743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Pequeno Porte II 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87F43" w14:textId="77777777" w:rsidR="002D3713" w:rsidRPr="002D3713" w:rsidRDefault="002D3713" w:rsidP="00785326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Médio, Grande, Metrópole e DF </w:t>
            </w:r>
          </w:p>
        </w:tc>
      </w:tr>
      <w:tr w:rsidR="002D3713" w:rsidRPr="002D3713" w14:paraId="21D5C473" w14:textId="77777777" w:rsidTr="00785326">
        <w:trPr>
          <w:trHeight w:val="695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44891" w14:textId="77777777" w:rsidR="002D3713" w:rsidRPr="002D3713" w:rsidRDefault="002D3713" w:rsidP="00785326">
            <w:pPr>
              <w:widowControl w:val="0"/>
              <w:ind w:left="11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Até 2.500 famílias referenciadas 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0D11F" w14:textId="77777777" w:rsidR="002D3713" w:rsidRPr="002D3713" w:rsidRDefault="002D3713" w:rsidP="00785326">
            <w:pPr>
              <w:widowControl w:val="0"/>
              <w:ind w:left="11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Até 3.500 famílias referenciadas 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3620F" w14:textId="77777777" w:rsidR="002D3713" w:rsidRPr="002D3713" w:rsidRDefault="002D3713" w:rsidP="00785326">
            <w:pPr>
              <w:widowControl w:val="0"/>
              <w:ind w:left="11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A cada 5.000 famílias referenciadas </w:t>
            </w:r>
          </w:p>
        </w:tc>
      </w:tr>
      <w:tr w:rsidR="002D3713" w:rsidRPr="002D3713" w14:paraId="270F1B9D" w14:textId="77777777" w:rsidTr="00785326">
        <w:trPr>
          <w:trHeight w:val="1627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E31F1" w14:textId="2F7BB663" w:rsidR="002D3713" w:rsidRPr="002D3713" w:rsidRDefault="002D3713" w:rsidP="00785326">
            <w:pPr>
              <w:widowControl w:val="0"/>
              <w:ind w:left="119" w:right="3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2 técnicos de nível superior, sendo um profissional assistente social e outro preferencialmente psicólogo. 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EACF1" w14:textId="7691065E" w:rsidR="002D3713" w:rsidRPr="002D3713" w:rsidRDefault="002D3713" w:rsidP="00AE57D0">
            <w:pPr>
              <w:widowControl w:val="0"/>
              <w:ind w:left="117" w:right="16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3 técnicos de nível superior, sendo dois profissionais assistentes</w:t>
            </w:r>
            <w:r w:rsidR="00AE57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sociais e preferencialmente um psicólogo.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D4A7B" w14:textId="38B1469B" w:rsidR="002D3713" w:rsidRPr="002D3713" w:rsidRDefault="002D3713" w:rsidP="00785326">
            <w:pPr>
              <w:widowControl w:val="0"/>
              <w:ind w:left="117" w:right="1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4 técnicos de nível superior, sendo dois profissionais assistentes sociais, um psicólogo e um profissional que compõe o SUAS. </w:t>
            </w:r>
          </w:p>
        </w:tc>
      </w:tr>
      <w:tr w:rsidR="002D3713" w:rsidRPr="002D3713" w14:paraId="1A8A85AB" w14:textId="77777777" w:rsidTr="00785326">
        <w:trPr>
          <w:trHeight w:val="445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32217" w14:textId="77777777" w:rsidR="002D3713" w:rsidRPr="002D3713" w:rsidRDefault="002D3713" w:rsidP="00785326">
            <w:pPr>
              <w:widowControl w:val="0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2 técnicos de nível médio 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F8DD8" w14:textId="77777777" w:rsidR="002D3713" w:rsidRPr="002D3713" w:rsidRDefault="002D3713" w:rsidP="00785326">
            <w:pPr>
              <w:widowControl w:val="0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técnicos nível</w:t>
            </w:r>
            <w:proofErr w:type="gramEnd"/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médio 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167DE" w14:textId="77777777" w:rsidR="002D3713" w:rsidRPr="002D3713" w:rsidRDefault="002D3713" w:rsidP="00785326">
            <w:pPr>
              <w:widowControl w:val="0"/>
              <w:ind w:left="11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3713">
              <w:rPr>
                <w:rFonts w:ascii="Times New Roman" w:eastAsia="Arial" w:hAnsi="Times New Roman" w:cs="Times New Roman"/>
                <w:sz w:val="24"/>
                <w:szCs w:val="24"/>
              </w:rPr>
              <w:t>4 técnicos de nível médio </w:t>
            </w:r>
          </w:p>
        </w:tc>
      </w:tr>
    </w:tbl>
    <w:p w14:paraId="4F36B8AD" w14:textId="77777777" w:rsidR="002D3713" w:rsidRPr="002D3713" w:rsidRDefault="002D3713" w:rsidP="002D3713">
      <w:pPr>
        <w:tabs>
          <w:tab w:val="left" w:pos="5103"/>
        </w:tabs>
        <w:spacing w:after="71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94DE4E0" w14:textId="783C125E" w:rsidR="00190983" w:rsidRPr="002D3713" w:rsidRDefault="00190983" w:rsidP="002D3713">
      <w:pPr>
        <w:rPr>
          <w:rFonts w:ascii="Times New Roman" w:hAnsi="Times New Roman" w:cs="Times New Roman"/>
          <w:sz w:val="24"/>
          <w:szCs w:val="24"/>
        </w:rPr>
      </w:pPr>
    </w:p>
    <w:sectPr w:rsidR="00190983" w:rsidRPr="002D3713" w:rsidSect="00566880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4533" w14:textId="77777777" w:rsidR="005E00EF" w:rsidRDefault="005E00EF" w:rsidP="009311B3">
      <w:r>
        <w:separator/>
      </w:r>
    </w:p>
  </w:endnote>
  <w:endnote w:type="continuationSeparator" w:id="0">
    <w:p w14:paraId="4EAEBAB1" w14:textId="77777777" w:rsidR="005E00EF" w:rsidRDefault="005E00EF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382" w14:textId="0AB5BAEC" w:rsidR="00566880" w:rsidRDefault="00935DF3">
    <w:pPr>
      <w:pStyle w:val="Rodap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2579780" wp14:editId="4E32018D">
              <wp:simplePos x="0" y="0"/>
              <wp:positionH relativeFrom="column">
                <wp:posOffset>4544949</wp:posOffset>
              </wp:positionH>
              <wp:positionV relativeFrom="paragraph">
                <wp:posOffset>287808</wp:posOffset>
              </wp:positionV>
              <wp:extent cx="1333754" cy="400050"/>
              <wp:effectExtent l="0" t="0" r="0" b="0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754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578AD" w14:textId="77777777" w:rsidR="00935DF3" w:rsidRDefault="00935DF3" w:rsidP="00935DF3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  <w:p w14:paraId="43182811" w14:textId="77777777" w:rsidR="00566880" w:rsidRDefault="00566880" w:rsidP="0056688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797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7.85pt;margin-top:22.65pt;width:10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" filled="f" stroked="f">
              <v:textbox>
                <w:txbxContent>
                  <w:p w14:paraId="2C2578AD" w14:textId="77777777" w:rsidR="00935DF3" w:rsidRDefault="00935DF3" w:rsidP="00935DF3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  <w:p w14:paraId="43182811" w14:textId="77777777" w:rsidR="00566880" w:rsidRDefault="00566880" w:rsidP="00566880"/>
                </w:txbxContent>
              </v:textbox>
            </v:shape>
          </w:pict>
        </mc:Fallback>
      </mc:AlternateContent>
    </w:r>
    <w:r w:rsidR="00C10CAE" w:rsidRPr="002C57DD">
      <w:rPr>
        <w:rFonts w:ascii="Arial" w:hAnsi="Arial" w:cs="Arial"/>
        <w:noProof/>
      </w:rPr>
      <w:drawing>
        <wp:anchor distT="0" distB="0" distL="0" distR="0" simplePos="0" relativeHeight="251679744" behindDoc="0" locked="0" layoutInCell="1" allowOverlap="1" wp14:anchorId="392939EA" wp14:editId="041CB133">
          <wp:simplePos x="0" y="0"/>
          <wp:positionH relativeFrom="page">
            <wp:posOffset>835586</wp:posOffset>
          </wp:positionH>
          <wp:positionV relativeFrom="paragraph">
            <wp:posOffset>46798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CAE"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71CF79AA" wp14:editId="3B6E5E24">
          <wp:simplePos x="0" y="0"/>
          <wp:positionH relativeFrom="column">
            <wp:posOffset>1946275</wp:posOffset>
          </wp:positionH>
          <wp:positionV relativeFrom="paragraph">
            <wp:posOffset>288039</wp:posOffset>
          </wp:positionV>
          <wp:extent cx="151765" cy="151765"/>
          <wp:effectExtent l="0" t="0" r="635" b="635"/>
          <wp:wrapNone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CAE"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7696" behindDoc="0" locked="0" layoutInCell="1" allowOverlap="1" wp14:anchorId="714622F5" wp14:editId="13A4CE92">
          <wp:simplePos x="0" y="0"/>
          <wp:positionH relativeFrom="column">
            <wp:posOffset>-95250</wp:posOffset>
          </wp:positionH>
          <wp:positionV relativeFrom="paragraph">
            <wp:posOffset>191179</wp:posOffset>
          </wp:positionV>
          <wp:extent cx="151765" cy="151765"/>
          <wp:effectExtent l="0" t="0" r="635" b="635"/>
          <wp:wrapNone/>
          <wp:docPr id="20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CAE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D261A1" wp14:editId="20BF3163">
              <wp:simplePos x="0" y="0"/>
              <wp:positionH relativeFrom="column">
                <wp:posOffset>-6410</wp:posOffset>
              </wp:positionH>
              <wp:positionV relativeFrom="paragraph">
                <wp:posOffset>151942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65EB4" w14:textId="77777777" w:rsidR="00566880" w:rsidRPr="001146A3" w:rsidRDefault="00566880" w:rsidP="00C10CAE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2D8C273D" w14:textId="77777777" w:rsidR="00566880" w:rsidRPr="001146A3" w:rsidRDefault="00566880" w:rsidP="00C10CAE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4CA0EC5" w14:textId="77777777" w:rsidR="00566880" w:rsidRPr="001146A3" w:rsidRDefault="00566880" w:rsidP="00C10CAE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06A5A3F1" w14:textId="77777777" w:rsidR="00566880" w:rsidRPr="001146A3" w:rsidRDefault="00566880" w:rsidP="00C10CAE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261A1" id="Caixa de Texto 7" o:spid="_x0000_s1028" type="#_x0000_t202" style="position:absolute;left:0;text-align:left;margin-left:-.5pt;margin-top:11.95pt;width:148.75pt;height: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" filled="f" stroked="f">
              <v:textbox>
                <w:txbxContent>
                  <w:p w14:paraId="74A65EB4" w14:textId="77777777" w:rsidR="00566880" w:rsidRPr="001146A3" w:rsidRDefault="00566880" w:rsidP="00C10CAE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2D8C273D" w14:textId="77777777" w:rsidR="00566880" w:rsidRPr="001146A3" w:rsidRDefault="00566880" w:rsidP="00C10CAE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4CA0EC5" w14:textId="77777777" w:rsidR="00566880" w:rsidRPr="001146A3" w:rsidRDefault="00566880" w:rsidP="00C10CAE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06A5A3F1" w14:textId="77777777" w:rsidR="00566880" w:rsidRPr="001146A3" w:rsidRDefault="00566880" w:rsidP="00C10CAE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="00C10CAE"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36C5EC38" wp14:editId="007D6EE3">
          <wp:simplePos x="0" y="0"/>
          <wp:positionH relativeFrom="column">
            <wp:posOffset>4469263</wp:posOffset>
          </wp:positionH>
          <wp:positionV relativeFrom="paragraph">
            <wp:posOffset>327660</wp:posOffset>
          </wp:positionV>
          <wp:extent cx="151765" cy="151765"/>
          <wp:effectExtent l="0" t="0" r="635" b="635"/>
          <wp:wrapNone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10CAE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F19B9A4" wp14:editId="279AE2DA">
              <wp:simplePos x="0" y="0"/>
              <wp:positionH relativeFrom="column">
                <wp:posOffset>2084173</wp:posOffset>
              </wp:positionH>
              <wp:positionV relativeFrom="paragraph">
                <wp:posOffset>195122</wp:posOffset>
              </wp:positionV>
              <wp:extent cx="2360930" cy="542260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4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55608" w14:textId="77777777" w:rsidR="00566880" w:rsidRDefault="00566880" w:rsidP="00566880">
                          <w:pPr>
                            <w:spacing w:before="0" w:after="0" w:line="240" w:lineRule="auto"/>
                          </w:pPr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5B2A9261" w14:textId="12023419" w:rsidR="00566880" w:rsidRDefault="00566880" w:rsidP="00566880">
                          <w:pPr>
                            <w:spacing w:before="0" w:after="0" w:line="240" w:lineRule="auto"/>
                          </w:pPr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0B3E6AFC" w14:textId="77777777" w:rsidR="00566880" w:rsidRDefault="00566880" w:rsidP="00566880">
                          <w:pPr>
                            <w:spacing w:before="0" w:after="0" w:line="240" w:lineRule="auto"/>
                          </w:pPr>
                          <w:r w:rsidRPr="00566880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749AED8E" w14:textId="77777777" w:rsidR="00566880" w:rsidRDefault="00566880" w:rsidP="00566880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769860A3" w14:textId="77777777" w:rsidR="00566880" w:rsidRDefault="00566880" w:rsidP="0056688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9B9A4" id="_x0000_s1029" type="#_x0000_t202" style="position:absolute;left:0;text-align:left;margin-left:164.1pt;margin-top:15.35pt;width:185.9pt;height:42.7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" filled="f" stroked="f">
              <v:textbox>
                <w:txbxContent>
                  <w:p w14:paraId="79955608" w14:textId="77777777" w:rsidR="00566880" w:rsidRDefault="00566880" w:rsidP="00566880">
                    <w:pPr>
                      <w:spacing w:before="0" w:after="0" w:line="240" w:lineRule="auto"/>
                    </w:pPr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5B2A9261" w14:textId="12023419" w:rsidR="00566880" w:rsidRDefault="00566880" w:rsidP="00566880">
                    <w:pPr>
                      <w:spacing w:before="0" w:after="0" w:line="240" w:lineRule="auto"/>
                    </w:pPr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0B3E6AFC" w14:textId="77777777" w:rsidR="00566880" w:rsidRDefault="00566880" w:rsidP="00566880">
                    <w:pPr>
                      <w:spacing w:before="0" w:after="0" w:line="240" w:lineRule="auto"/>
                    </w:pPr>
                    <w:r w:rsidRPr="00566880"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749AED8E" w14:textId="77777777" w:rsidR="00566880" w:rsidRDefault="00566880" w:rsidP="00566880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769860A3" w14:textId="77777777" w:rsidR="00566880" w:rsidRDefault="00566880" w:rsidP="00566880"/>
                </w:txbxContent>
              </v:textbox>
            </v:shape>
          </w:pict>
        </mc:Fallback>
      </mc:AlternateContent>
    </w:r>
    <w:sdt>
      <w:sdtPr>
        <w:id w:val="1367949516"/>
        <w:docPartObj>
          <w:docPartGallery w:val="Page Numbers (Bottom of Page)"/>
          <w:docPartUnique/>
        </w:docPartObj>
      </w:sdtPr>
      <w:sdtEndPr/>
      <w:sdtContent>
        <w:r w:rsidR="00566880">
          <w:fldChar w:fldCharType="begin"/>
        </w:r>
        <w:r w:rsidR="00566880">
          <w:instrText>PAGE   \* MERGEFORMAT</w:instrText>
        </w:r>
        <w:r w:rsidR="00566880">
          <w:fldChar w:fldCharType="separate"/>
        </w:r>
        <w:r w:rsidR="00566880">
          <w:rPr>
            <w:lang w:val="pt-BR"/>
          </w:rPr>
          <w:t>2</w:t>
        </w:r>
        <w:r w:rsidR="00566880">
          <w:fldChar w:fldCharType="end"/>
        </w:r>
      </w:sdtContent>
    </w:sdt>
  </w:p>
  <w:p w14:paraId="6F07831F" w14:textId="17077EF3" w:rsidR="009311B3" w:rsidRDefault="009311B3" w:rsidP="006F3BC7">
    <w:pPr>
      <w:pStyle w:val="Normal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24F9" w14:textId="77777777" w:rsidR="005E00EF" w:rsidRDefault="005E00EF" w:rsidP="009311B3">
      <w:r>
        <w:separator/>
      </w:r>
    </w:p>
  </w:footnote>
  <w:footnote w:type="continuationSeparator" w:id="0">
    <w:p w14:paraId="4BB2D748" w14:textId="77777777" w:rsidR="005E00EF" w:rsidRDefault="005E00EF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20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20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D566C"/>
    <w:multiLevelType w:val="multilevel"/>
    <w:tmpl w:val="8530E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10C9E"/>
    <w:multiLevelType w:val="multilevel"/>
    <w:tmpl w:val="6184918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 w15:restartNumberingAfterBreak="0">
    <w:nsid w:val="56803A56"/>
    <w:multiLevelType w:val="hybridMultilevel"/>
    <w:tmpl w:val="664CF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44DA3"/>
    <w:rsid w:val="000533F8"/>
    <w:rsid w:val="00067580"/>
    <w:rsid w:val="00092D9D"/>
    <w:rsid w:val="000979FF"/>
    <w:rsid w:val="000A7F7C"/>
    <w:rsid w:val="000F31FE"/>
    <w:rsid w:val="000F723E"/>
    <w:rsid w:val="001146A3"/>
    <w:rsid w:val="0011527E"/>
    <w:rsid w:val="00133F7F"/>
    <w:rsid w:val="00140369"/>
    <w:rsid w:val="0015193F"/>
    <w:rsid w:val="0015460B"/>
    <w:rsid w:val="00190983"/>
    <w:rsid w:val="001967F6"/>
    <w:rsid w:val="001B7543"/>
    <w:rsid w:val="001B7651"/>
    <w:rsid w:val="001C3DD6"/>
    <w:rsid w:val="001E48FF"/>
    <w:rsid w:val="0020534B"/>
    <w:rsid w:val="002151D5"/>
    <w:rsid w:val="00220E82"/>
    <w:rsid w:val="00237438"/>
    <w:rsid w:val="002452BC"/>
    <w:rsid w:val="0026174D"/>
    <w:rsid w:val="002765CA"/>
    <w:rsid w:val="002820BA"/>
    <w:rsid w:val="0028765A"/>
    <w:rsid w:val="002C57DD"/>
    <w:rsid w:val="002D3713"/>
    <w:rsid w:val="002D4A9A"/>
    <w:rsid w:val="00325632"/>
    <w:rsid w:val="00340297"/>
    <w:rsid w:val="00342F9F"/>
    <w:rsid w:val="00347F08"/>
    <w:rsid w:val="00374E81"/>
    <w:rsid w:val="003B14DE"/>
    <w:rsid w:val="003C4971"/>
    <w:rsid w:val="003D765A"/>
    <w:rsid w:val="003E52C8"/>
    <w:rsid w:val="003E61E9"/>
    <w:rsid w:val="003F2CA5"/>
    <w:rsid w:val="00405124"/>
    <w:rsid w:val="00410D97"/>
    <w:rsid w:val="004310B7"/>
    <w:rsid w:val="00441740"/>
    <w:rsid w:val="00447836"/>
    <w:rsid w:val="00455AE6"/>
    <w:rsid w:val="00475585"/>
    <w:rsid w:val="00480C31"/>
    <w:rsid w:val="00483659"/>
    <w:rsid w:val="004C6102"/>
    <w:rsid w:val="004C6661"/>
    <w:rsid w:val="004F6CBD"/>
    <w:rsid w:val="0050041B"/>
    <w:rsid w:val="005139DE"/>
    <w:rsid w:val="005501A5"/>
    <w:rsid w:val="00566880"/>
    <w:rsid w:val="00572559"/>
    <w:rsid w:val="005A2FB3"/>
    <w:rsid w:val="005A4ABA"/>
    <w:rsid w:val="005B0D83"/>
    <w:rsid w:val="005E00EF"/>
    <w:rsid w:val="005E10AD"/>
    <w:rsid w:val="005F3486"/>
    <w:rsid w:val="00610E72"/>
    <w:rsid w:val="00615E7C"/>
    <w:rsid w:val="006414A9"/>
    <w:rsid w:val="00656BE4"/>
    <w:rsid w:val="00661E61"/>
    <w:rsid w:val="006A205C"/>
    <w:rsid w:val="006B6159"/>
    <w:rsid w:val="006B6BB9"/>
    <w:rsid w:val="006C361A"/>
    <w:rsid w:val="006D3882"/>
    <w:rsid w:val="006D6ECB"/>
    <w:rsid w:val="006F3BC7"/>
    <w:rsid w:val="006F50E4"/>
    <w:rsid w:val="0070788D"/>
    <w:rsid w:val="00724875"/>
    <w:rsid w:val="007322B7"/>
    <w:rsid w:val="00734F3A"/>
    <w:rsid w:val="00755403"/>
    <w:rsid w:val="0076407D"/>
    <w:rsid w:val="00764ACA"/>
    <w:rsid w:val="007706AF"/>
    <w:rsid w:val="00773607"/>
    <w:rsid w:val="00780A21"/>
    <w:rsid w:val="00790F71"/>
    <w:rsid w:val="007C157A"/>
    <w:rsid w:val="007C6644"/>
    <w:rsid w:val="007C7CEA"/>
    <w:rsid w:val="007D40A0"/>
    <w:rsid w:val="007D73BA"/>
    <w:rsid w:val="007E5C1D"/>
    <w:rsid w:val="007F2BD7"/>
    <w:rsid w:val="00800787"/>
    <w:rsid w:val="0081137F"/>
    <w:rsid w:val="00811EDD"/>
    <w:rsid w:val="0081300F"/>
    <w:rsid w:val="008224F6"/>
    <w:rsid w:val="008349C8"/>
    <w:rsid w:val="0083503E"/>
    <w:rsid w:val="00836E7A"/>
    <w:rsid w:val="00847479"/>
    <w:rsid w:val="00854EAB"/>
    <w:rsid w:val="00855205"/>
    <w:rsid w:val="0085540B"/>
    <w:rsid w:val="008759BD"/>
    <w:rsid w:val="008776DA"/>
    <w:rsid w:val="0088388B"/>
    <w:rsid w:val="00887E60"/>
    <w:rsid w:val="008A0068"/>
    <w:rsid w:val="008A519B"/>
    <w:rsid w:val="008A6411"/>
    <w:rsid w:val="008F0E96"/>
    <w:rsid w:val="00915F7A"/>
    <w:rsid w:val="00927C19"/>
    <w:rsid w:val="009311B3"/>
    <w:rsid w:val="00935DF3"/>
    <w:rsid w:val="009460B2"/>
    <w:rsid w:val="00987AE2"/>
    <w:rsid w:val="009913A6"/>
    <w:rsid w:val="009A1034"/>
    <w:rsid w:val="009A5EAE"/>
    <w:rsid w:val="009B4338"/>
    <w:rsid w:val="00A24C03"/>
    <w:rsid w:val="00A61F74"/>
    <w:rsid w:val="00A755CB"/>
    <w:rsid w:val="00A76E4D"/>
    <w:rsid w:val="00A830C7"/>
    <w:rsid w:val="00AA25CE"/>
    <w:rsid w:val="00AB0292"/>
    <w:rsid w:val="00AB5A97"/>
    <w:rsid w:val="00AD5922"/>
    <w:rsid w:val="00AE0462"/>
    <w:rsid w:val="00AE57D0"/>
    <w:rsid w:val="00AF6F4B"/>
    <w:rsid w:val="00B25B83"/>
    <w:rsid w:val="00B33703"/>
    <w:rsid w:val="00B3650C"/>
    <w:rsid w:val="00B54481"/>
    <w:rsid w:val="00B638D6"/>
    <w:rsid w:val="00BC770B"/>
    <w:rsid w:val="00BD20DE"/>
    <w:rsid w:val="00BE6C04"/>
    <w:rsid w:val="00BF5CEB"/>
    <w:rsid w:val="00C0594F"/>
    <w:rsid w:val="00C065EE"/>
    <w:rsid w:val="00C10CAE"/>
    <w:rsid w:val="00C15751"/>
    <w:rsid w:val="00C26FAD"/>
    <w:rsid w:val="00C34DAC"/>
    <w:rsid w:val="00C45514"/>
    <w:rsid w:val="00C478C9"/>
    <w:rsid w:val="00C71259"/>
    <w:rsid w:val="00C755FF"/>
    <w:rsid w:val="00CB7F8E"/>
    <w:rsid w:val="00CC4E26"/>
    <w:rsid w:val="00D23385"/>
    <w:rsid w:val="00D63D67"/>
    <w:rsid w:val="00D81374"/>
    <w:rsid w:val="00D9107A"/>
    <w:rsid w:val="00D94FF6"/>
    <w:rsid w:val="00DA30BA"/>
    <w:rsid w:val="00DD75A0"/>
    <w:rsid w:val="00DE17FB"/>
    <w:rsid w:val="00DE3A8C"/>
    <w:rsid w:val="00DF49EA"/>
    <w:rsid w:val="00E26E9E"/>
    <w:rsid w:val="00E4502C"/>
    <w:rsid w:val="00E50A32"/>
    <w:rsid w:val="00E736B8"/>
    <w:rsid w:val="00E859DB"/>
    <w:rsid w:val="00EA44E8"/>
    <w:rsid w:val="00EA4EB4"/>
    <w:rsid w:val="00EF75E4"/>
    <w:rsid w:val="00F03016"/>
    <w:rsid w:val="00F10F24"/>
    <w:rsid w:val="00F5776D"/>
    <w:rsid w:val="00F65380"/>
    <w:rsid w:val="00F65658"/>
    <w:rsid w:val="00FB68A6"/>
    <w:rsid w:val="00FD7DAE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2499</Words>
  <Characters>13497</Characters>
  <Application>Microsoft Office Word</Application>
  <DocSecurity>4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2</cp:revision>
  <cp:lastPrinted>2024-01-09T19:18:00Z</cp:lastPrinted>
  <dcterms:created xsi:type="dcterms:W3CDTF">2024-12-17T18:18:00Z</dcterms:created>
  <dcterms:modified xsi:type="dcterms:W3CDTF">2024-12-17T18:18:00Z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